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59C" w:rsidRDefault="00125A3F" w:rsidP="00D106A0">
      <w:pPr>
        <w:pStyle w:val="Titre"/>
      </w:pPr>
      <w:r>
        <w:t>La maladie du frêne « Chalara fraxinea » : la progression continue et semble inexorable.</w:t>
      </w:r>
    </w:p>
    <w:p w:rsidR="00D106A0" w:rsidRDefault="00D106A0" w:rsidP="00D106A0">
      <w:pPr>
        <w:pStyle w:val="Titre1"/>
        <w:rPr>
          <w:lang w:eastAsia="fr-FR"/>
        </w:rPr>
      </w:pPr>
      <w:r>
        <w:rPr>
          <w:lang w:eastAsia="fr-FR"/>
        </w:rPr>
        <w:t>Chalara, késako ?</w:t>
      </w:r>
    </w:p>
    <w:p w:rsidR="00D106A0" w:rsidRDefault="00125A3F" w:rsidP="00125A3F">
      <w:pPr>
        <w:rPr>
          <w:lang w:eastAsia="fr-FR"/>
        </w:rPr>
      </w:pPr>
      <w:r>
        <w:rPr>
          <w:lang w:eastAsia="fr-FR"/>
        </w:rPr>
        <w:t>Il s’</w:t>
      </w:r>
      <w:r w:rsidR="00D106A0">
        <w:rPr>
          <w:lang w:eastAsia="fr-FR"/>
        </w:rPr>
        <w:t>agi</w:t>
      </w:r>
      <w:r>
        <w:rPr>
          <w:lang w:eastAsia="fr-FR"/>
        </w:rPr>
        <w:t>t d’un champignon microscopique, identifié depuis 2006 sous le nom de chalara fraxinea. Il se dével</w:t>
      </w:r>
      <w:r w:rsidR="009852CF">
        <w:rPr>
          <w:lang w:eastAsia="fr-FR"/>
        </w:rPr>
        <w:t xml:space="preserve">oppe dans les vaisseaux </w:t>
      </w:r>
      <w:r w:rsidR="00D106A0">
        <w:rPr>
          <w:lang w:eastAsia="fr-FR"/>
        </w:rPr>
        <w:t>c</w:t>
      </w:r>
      <w:r w:rsidR="009852CF">
        <w:rPr>
          <w:lang w:eastAsia="fr-FR"/>
        </w:rPr>
        <w:t>onducte</w:t>
      </w:r>
      <w:r>
        <w:rPr>
          <w:lang w:eastAsia="fr-FR"/>
        </w:rPr>
        <w:t>ur</w:t>
      </w:r>
      <w:r w:rsidR="00D106A0">
        <w:rPr>
          <w:lang w:eastAsia="fr-FR"/>
        </w:rPr>
        <w:t>s</w:t>
      </w:r>
      <w:r>
        <w:rPr>
          <w:lang w:eastAsia="fr-FR"/>
        </w:rPr>
        <w:t xml:space="preserve"> de sève </w:t>
      </w:r>
      <w:r w:rsidR="00D106A0">
        <w:rPr>
          <w:lang w:eastAsia="fr-FR"/>
        </w:rPr>
        <w:t xml:space="preserve">brute </w:t>
      </w:r>
      <w:r>
        <w:rPr>
          <w:lang w:eastAsia="fr-FR"/>
        </w:rPr>
        <w:t xml:space="preserve"> des frênes dont il cause un dépérissement rapide et inexorable. </w:t>
      </w:r>
    </w:p>
    <w:p w:rsidR="00125A3F" w:rsidRDefault="00125A3F" w:rsidP="00125A3F">
      <w:pPr>
        <w:rPr>
          <w:lang w:eastAsia="fr-FR"/>
        </w:rPr>
      </w:pPr>
      <w:r>
        <w:rPr>
          <w:lang w:eastAsia="fr-FR"/>
        </w:rPr>
        <w:t>Identif</w:t>
      </w:r>
      <w:r w:rsidR="00D106A0">
        <w:rPr>
          <w:lang w:eastAsia="fr-FR"/>
        </w:rPr>
        <w:t>i</w:t>
      </w:r>
      <w:r>
        <w:rPr>
          <w:lang w:eastAsia="fr-FR"/>
        </w:rPr>
        <w:t>é en Pologne</w:t>
      </w:r>
      <w:r w:rsidR="00D106A0">
        <w:rPr>
          <w:lang w:eastAsia="fr-FR"/>
        </w:rPr>
        <w:t xml:space="preserve"> dans les années 1990</w:t>
      </w:r>
      <w:r>
        <w:rPr>
          <w:lang w:eastAsia="fr-FR"/>
        </w:rPr>
        <w:t xml:space="preserve">, </w:t>
      </w:r>
      <w:r w:rsidR="00D106A0">
        <w:rPr>
          <w:lang w:eastAsia="fr-FR"/>
        </w:rPr>
        <w:t xml:space="preserve">puis </w:t>
      </w:r>
      <w:r>
        <w:rPr>
          <w:lang w:eastAsia="fr-FR"/>
        </w:rPr>
        <w:t>en Scandinavie, il attaque l’Angleterre</w:t>
      </w:r>
      <w:r w:rsidR="00D106A0">
        <w:rPr>
          <w:lang w:eastAsia="fr-FR"/>
        </w:rPr>
        <w:t xml:space="preserve"> il y a moins de dix ans</w:t>
      </w:r>
      <w:r>
        <w:rPr>
          <w:lang w:eastAsia="fr-FR"/>
        </w:rPr>
        <w:t xml:space="preserve"> puis le nord de la France. A l’heure actuelle, il occupe presque tout le territo</w:t>
      </w:r>
      <w:r w:rsidR="00D106A0">
        <w:rPr>
          <w:lang w:eastAsia="fr-FR"/>
        </w:rPr>
        <w:t>i</w:t>
      </w:r>
      <w:r>
        <w:rPr>
          <w:lang w:eastAsia="fr-FR"/>
        </w:rPr>
        <w:t>re national, à l’est d’une ligne qui va de la Manche aux Alpes du sud. Rien ne semble pouvoir l’arrêter.</w:t>
      </w:r>
    </w:p>
    <w:p w:rsidR="009852CF" w:rsidRDefault="009852CF" w:rsidP="00125A3F">
      <w:pPr>
        <w:rPr>
          <w:lang w:eastAsia="fr-FR"/>
        </w:rPr>
      </w:pPr>
      <w:r>
        <w:rPr>
          <w:lang w:eastAsia="fr-FR"/>
        </w:rPr>
        <w:t>Il s’agit d’</w:t>
      </w:r>
      <w:r w:rsidR="00D106A0">
        <w:rPr>
          <w:lang w:eastAsia="fr-FR"/>
        </w:rPr>
        <w:t xml:space="preserve">une trachéomycose, du même groupe que la </w:t>
      </w:r>
      <w:r>
        <w:rPr>
          <w:lang w:eastAsia="fr-FR"/>
        </w:rPr>
        <w:t>graphiose de l’orme et le chancre coloré du platane.</w:t>
      </w:r>
      <w:r w:rsidR="00D106A0">
        <w:rPr>
          <w:lang w:eastAsia="fr-FR"/>
        </w:rPr>
        <w:t xml:space="preserve"> On peut donc difficilement être optimiste lorsqu’on constate l’ampleur et la vitesse de propagation de ces deux maladies</w:t>
      </w:r>
    </w:p>
    <w:p w:rsidR="00125A3F" w:rsidRDefault="00125A3F" w:rsidP="00D106A0">
      <w:pPr>
        <w:pStyle w:val="Titre1"/>
        <w:rPr>
          <w:lang w:eastAsia="fr-FR"/>
        </w:rPr>
      </w:pPr>
      <w:r>
        <w:rPr>
          <w:lang w:eastAsia="fr-FR"/>
        </w:rPr>
        <w:t xml:space="preserve">Quels sont les symptômes. </w:t>
      </w:r>
    </w:p>
    <w:p w:rsidR="00125A3F" w:rsidRDefault="009852CF" w:rsidP="00125A3F">
      <w:pPr>
        <w:rPr>
          <w:lang w:eastAsia="fr-FR"/>
        </w:rPr>
      </w:pPr>
      <w:r>
        <w:rPr>
          <w:lang w:eastAsia="fr-FR"/>
        </w:rPr>
        <w:t>Lors des premières atta</w:t>
      </w:r>
      <w:r w:rsidR="00125A3F">
        <w:rPr>
          <w:lang w:eastAsia="fr-FR"/>
        </w:rPr>
        <w:t>q</w:t>
      </w:r>
      <w:r>
        <w:rPr>
          <w:lang w:eastAsia="fr-FR"/>
        </w:rPr>
        <w:t>u</w:t>
      </w:r>
      <w:r w:rsidR="00125A3F">
        <w:rPr>
          <w:lang w:eastAsia="fr-FR"/>
        </w:rPr>
        <w:t xml:space="preserve">es, ce sont surtout </w:t>
      </w:r>
      <w:r>
        <w:rPr>
          <w:lang w:eastAsia="fr-FR"/>
        </w:rPr>
        <w:t>les jeunes individus sur lesque</w:t>
      </w:r>
      <w:r w:rsidR="00125A3F">
        <w:rPr>
          <w:lang w:eastAsia="fr-FR"/>
        </w:rPr>
        <w:t>l</w:t>
      </w:r>
      <w:r>
        <w:rPr>
          <w:lang w:eastAsia="fr-FR"/>
        </w:rPr>
        <w:t>s</w:t>
      </w:r>
      <w:r w:rsidR="00125A3F">
        <w:rPr>
          <w:lang w:eastAsia="fr-FR"/>
        </w:rPr>
        <w:t xml:space="preserve"> les symptômes sont visibles : décoloration, dessècheme</w:t>
      </w:r>
      <w:r>
        <w:rPr>
          <w:lang w:eastAsia="fr-FR"/>
        </w:rPr>
        <w:t>nt des pousses, présence de peti</w:t>
      </w:r>
      <w:r w:rsidR="00125A3F">
        <w:rPr>
          <w:lang w:eastAsia="fr-FR"/>
        </w:rPr>
        <w:t xml:space="preserve">ts chancres noirs et d’éclatement  de l’écorce. </w:t>
      </w:r>
      <w:r w:rsidR="0047763C">
        <w:rPr>
          <w:lang w:eastAsia="fr-FR"/>
        </w:rPr>
        <w:t>L’année suivante</w:t>
      </w:r>
      <w:r w:rsidR="00125A3F">
        <w:rPr>
          <w:lang w:eastAsia="fr-FR"/>
        </w:rPr>
        <w:t>, les arbr</w:t>
      </w:r>
      <w:r>
        <w:rPr>
          <w:lang w:eastAsia="fr-FR"/>
        </w:rPr>
        <w:t>es les plus fragiles son</w:t>
      </w:r>
      <w:r w:rsidR="00D106A0">
        <w:rPr>
          <w:lang w:eastAsia="fr-FR"/>
        </w:rPr>
        <w:t>t</w:t>
      </w:r>
      <w:r>
        <w:rPr>
          <w:lang w:eastAsia="fr-FR"/>
        </w:rPr>
        <w:t xml:space="preserve"> atteint</w:t>
      </w:r>
      <w:r w:rsidR="00125A3F">
        <w:rPr>
          <w:lang w:eastAsia="fr-FR"/>
        </w:rPr>
        <w:t>s, en général, au bout de la troisième année, les arbres sont en majorité moribonds et deviennent rapidement dangereux.</w:t>
      </w:r>
    </w:p>
    <w:p w:rsidR="00D106A0" w:rsidRDefault="00D106A0" w:rsidP="00D106A0">
      <w:pPr>
        <w:pStyle w:val="Titre1"/>
        <w:rPr>
          <w:lang w:eastAsia="fr-FR"/>
        </w:rPr>
      </w:pPr>
      <w:r>
        <w:rPr>
          <w:lang w:eastAsia="fr-FR"/>
        </w:rPr>
        <w:t>A retenir</w:t>
      </w:r>
    </w:p>
    <w:p w:rsidR="00D106A0" w:rsidRPr="009A7B1D" w:rsidRDefault="00D106A0" w:rsidP="00D106A0">
      <w:pPr>
        <w:numPr>
          <w:ilvl w:val="0"/>
          <w:numId w:val="1"/>
        </w:numPr>
        <w:spacing w:before="100" w:beforeAutospacing="1" w:after="100" w:afterAutospacing="1" w:line="240" w:lineRule="auto"/>
      </w:pPr>
      <w:r w:rsidRPr="009A7B1D">
        <w:t xml:space="preserve">Flétrissement de </w:t>
      </w:r>
      <w:hyperlink r:id="rId5" w:tooltip="Rameau (biologie)" w:history="1">
        <w:r w:rsidRPr="009A7B1D">
          <w:rPr>
            <w:rStyle w:val="Lienhypertexte"/>
          </w:rPr>
          <w:t>rameaux</w:t>
        </w:r>
      </w:hyperlink>
      <w:r w:rsidRPr="009A7B1D">
        <w:t>.</w:t>
      </w:r>
    </w:p>
    <w:p w:rsidR="00D106A0" w:rsidRPr="009A7B1D" w:rsidRDefault="00D106A0" w:rsidP="00D106A0">
      <w:pPr>
        <w:numPr>
          <w:ilvl w:val="0"/>
          <w:numId w:val="1"/>
        </w:numPr>
        <w:spacing w:before="100" w:beforeAutospacing="1" w:after="100" w:afterAutospacing="1" w:line="240" w:lineRule="auto"/>
      </w:pPr>
      <w:r w:rsidRPr="009A7B1D">
        <w:t>Dessèchement de l'</w:t>
      </w:r>
      <w:hyperlink r:id="rId6" w:tooltip="Écorce" w:history="1">
        <w:r w:rsidRPr="009A7B1D">
          <w:rPr>
            <w:rStyle w:val="Lienhypertexte"/>
          </w:rPr>
          <w:t>écorce</w:t>
        </w:r>
      </w:hyperlink>
      <w:r w:rsidRPr="009A7B1D">
        <w:t xml:space="preserve"> qui devient localement orangée et qui peut cacher la présence de </w:t>
      </w:r>
      <w:hyperlink r:id="rId7" w:tooltip="Scolyte" w:history="1">
        <w:r w:rsidRPr="009A7B1D">
          <w:rPr>
            <w:rStyle w:val="Lienhypertexte"/>
          </w:rPr>
          <w:t>scolytes</w:t>
        </w:r>
      </w:hyperlink>
      <w:r>
        <w:t>.</w:t>
      </w:r>
    </w:p>
    <w:p w:rsidR="00D106A0" w:rsidRPr="009A7B1D" w:rsidRDefault="00D106A0" w:rsidP="00D106A0">
      <w:pPr>
        <w:numPr>
          <w:ilvl w:val="0"/>
          <w:numId w:val="1"/>
        </w:numPr>
        <w:spacing w:before="100" w:beforeAutospacing="1" w:after="100" w:afterAutospacing="1" w:line="240" w:lineRule="auto"/>
      </w:pPr>
      <w:r w:rsidRPr="009A7B1D">
        <w:t>Mort des pousses.</w:t>
      </w:r>
    </w:p>
    <w:p w:rsidR="00D106A0" w:rsidRPr="009A7B1D" w:rsidRDefault="00D106A0" w:rsidP="00D106A0">
      <w:pPr>
        <w:numPr>
          <w:ilvl w:val="0"/>
          <w:numId w:val="1"/>
        </w:numPr>
        <w:spacing w:before="100" w:beforeAutospacing="1" w:after="100" w:afterAutospacing="1" w:line="240" w:lineRule="auto"/>
      </w:pPr>
      <w:hyperlink r:id="rId8" w:tooltip="Descente de cime (page inexistante)" w:history="1">
        <w:r w:rsidRPr="009A7B1D">
          <w:rPr>
            <w:rStyle w:val="Lienhypertexte"/>
          </w:rPr>
          <w:t>Descente de cime</w:t>
        </w:r>
      </w:hyperlink>
      <w:r w:rsidRPr="009A7B1D">
        <w:t xml:space="preserve"> avec en réaction apparition de nombreux </w:t>
      </w:r>
      <w:hyperlink r:id="rId9" w:tooltip="Gourmand (botanique)" w:history="1">
        <w:r>
          <w:rPr>
            <w:rStyle w:val="Lienhypertexte"/>
            <w:i/>
            <w:iCs/>
          </w:rPr>
          <w:t>rejet</w:t>
        </w:r>
        <w:r w:rsidRPr="009A7B1D">
          <w:rPr>
            <w:rStyle w:val="Lienhypertexte"/>
            <w:i/>
            <w:iCs/>
          </w:rPr>
          <w:t>s</w:t>
        </w:r>
      </w:hyperlink>
      <w:r w:rsidRPr="009A7B1D">
        <w:t xml:space="preserve">, eux-mêmes souvent </w:t>
      </w:r>
      <w:hyperlink r:id="rId10" w:tooltip="Mycose" w:history="1">
        <w:r w:rsidRPr="009A7B1D">
          <w:rPr>
            <w:rStyle w:val="Lienhypertexte"/>
          </w:rPr>
          <w:t>mycosés</w:t>
        </w:r>
      </w:hyperlink>
      <w:r w:rsidRPr="009A7B1D">
        <w:t>.</w:t>
      </w:r>
    </w:p>
    <w:p w:rsidR="00D106A0" w:rsidRPr="009A7B1D" w:rsidRDefault="00D106A0" w:rsidP="00D106A0">
      <w:pPr>
        <w:numPr>
          <w:ilvl w:val="0"/>
          <w:numId w:val="1"/>
        </w:numPr>
        <w:spacing w:before="100" w:beforeAutospacing="1" w:after="100" w:afterAutospacing="1" w:line="240" w:lineRule="auto"/>
      </w:pPr>
      <w:r w:rsidRPr="009A7B1D">
        <w:t xml:space="preserve">Fréquentes nécroses corticales à la base des rameaux tués par le champignon, pouvant gagner toute la branche avec des faciès </w:t>
      </w:r>
      <w:hyperlink r:id="rId11" w:tooltip="Chancre" w:history="1">
        <w:r w:rsidRPr="009A7B1D">
          <w:rPr>
            <w:rStyle w:val="Lienhypertexte"/>
          </w:rPr>
          <w:t>chancreux</w:t>
        </w:r>
      </w:hyperlink>
      <w:r w:rsidRPr="009A7B1D">
        <w:t>.</w:t>
      </w:r>
    </w:p>
    <w:p w:rsidR="00D106A0" w:rsidRDefault="00D106A0" w:rsidP="00D106A0">
      <w:pPr>
        <w:numPr>
          <w:ilvl w:val="0"/>
          <w:numId w:val="1"/>
        </w:numPr>
        <w:spacing w:before="100" w:beforeAutospacing="1" w:after="100" w:afterAutospacing="1" w:line="240" w:lineRule="auto"/>
      </w:pPr>
      <w:r w:rsidRPr="009A7B1D">
        <w:t xml:space="preserve">Des lésions au </w:t>
      </w:r>
      <w:hyperlink r:id="rId12" w:tooltip="Collet" w:history="1">
        <w:r w:rsidRPr="009A7B1D">
          <w:rPr>
            <w:rStyle w:val="Lienhypertexte"/>
          </w:rPr>
          <w:t>collet</w:t>
        </w:r>
      </w:hyperlink>
      <w:r w:rsidRPr="009A7B1D">
        <w:t xml:space="preserve"> sont aussi fréquemment mentionnées. Elles peuvent précéder les symptômes de </w:t>
      </w:r>
      <w:hyperlink r:id="rId13" w:tooltip="Houppier" w:history="1">
        <w:r w:rsidRPr="009A7B1D">
          <w:rPr>
            <w:rStyle w:val="Lienhypertexte"/>
          </w:rPr>
          <w:t>houppier</w:t>
        </w:r>
      </w:hyperlink>
      <w:r w:rsidRPr="009A7B1D">
        <w:t xml:space="preserve"> sur un arbre. </w:t>
      </w:r>
    </w:p>
    <w:p w:rsidR="00D106A0" w:rsidRDefault="00D106A0" w:rsidP="00125A3F">
      <w:pPr>
        <w:rPr>
          <w:lang w:eastAsia="fr-FR"/>
        </w:rPr>
      </w:pPr>
    </w:p>
    <w:p w:rsidR="00125A3F" w:rsidRDefault="00125A3F" w:rsidP="00D106A0">
      <w:pPr>
        <w:pStyle w:val="Titre1"/>
        <w:rPr>
          <w:lang w:eastAsia="fr-FR"/>
        </w:rPr>
      </w:pPr>
      <w:r>
        <w:rPr>
          <w:lang w:eastAsia="fr-FR"/>
        </w:rPr>
        <w:lastRenderedPageBreak/>
        <w:t>Que faire en cas d’attaque.</w:t>
      </w:r>
    </w:p>
    <w:p w:rsidR="009852CF" w:rsidRDefault="00125A3F" w:rsidP="009852CF">
      <w:pPr>
        <w:spacing w:before="100" w:beforeAutospacing="1" w:after="100" w:afterAutospacing="1" w:line="240" w:lineRule="auto"/>
      </w:pPr>
      <w:r>
        <w:rPr>
          <w:lang w:eastAsia="fr-FR"/>
        </w:rPr>
        <w:t>Il convient d’éliminer rapidement les arbres atteints des zones recevant du public</w:t>
      </w:r>
      <w:r w:rsidR="009852CF">
        <w:rPr>
          <w:lang w:eastAsia="fr-FR"/>
        </w:rPr>
        <w:t xml:space="preserve"> : </w:t>
      </w:r>
      <w:r w:rsidR="009852CF" w:rsidRPr="009A7B1D">
        <w:t>L'</w:t>
      </w:r>
      <w:hyperlink r:id="rId14" w:tooltip="Armillaria" w:history="1">
        <w:r w:rsidR="009852CF" w:rsidRPr="009A7B1D">
          <w:rPr>
            <w:rStyle w:val="Lienhypertexte"/>
          </w:rPr>
          <w:t>armillaire</w:t>
        </w:r>
      </w:hyperlink>
      <w:r w:rsidR="009852CF" w:rsidRPr="009A7B1D">
        <w:t xml:space="preserve">, agent pathogène ne pouvant attaquer que les frênes affaiblis </w:t>
      </w:r>
      <w:r w:rsidR="0047763C" w:rsidRPr="009A7B1D">
        <w:t>surinfecte</w:t>
      </w:r>
      <w:r w:rsidR="009852CF" w:rsidRPr="009A7B1D">
        <w:t xml:space="preserve"> rapidement les lésion</w:t>
      </w:r>
      <w:r w:rsidR="009852CF">
        <w:t>s</w:t>
      </w:r>
      <w:r w:rsidR="009852CF" w:rsidRPr="009A7B1D">
        <w:t xml:space="preserve"> induites par </w:t>
      </w:r>
      <w:r w:rsidR="009852CF">
        <w:rPr>
          <w:i/>
          <w:iCs/>
        </w:rPr>
        <w:t>le chalara</w:t>
      </w:r>
      <w:r w:rsidR="009852CF" w:rsidRPr="009A7B1D">
        <w:t xml:space="preserve"> aggravant la ceinturation du</w:t>
      </w:r>
      <w:r w:rsidR="00D106A0">
        <w:t xml:space="preserve"> collet. L’armillaire</w:t>
      </w:r>
      <w:r w:rsidR="009852CF" w:rsidRPr="009A7B1D">
        <w:t xml:space="preserve"> un agent de pourriture de bois très actif</w:t>
      </w:r>
      <w:r w:rsidR="00D106A0">
        <w:t xml:space="preserve"> (et très polyphage, contrairement au chalara)</w:t>
      </w:r>
      <w:r w:rsidR="009852CF" w:rsidRPr="009A7B1D">
        <w:t xml:space="preserve"> et</w:t>
      </w:r>
      <w:r w:rsidR="00D106A0">
        <w:t xml:space="preserve"> qui </w:t>
      </w:r>
      <w:r w:rsidR="009852CF" w:rsidRPr="009A7B1D">
        <w:t xml:space="preserve"> induit un risque </w:t>
      </w:r>
      <w:r w:rsidR="00D106A0">
        <w:t>de casse de l'arbre</w:t>
      </w:r>
      <w:r w:rsidR="009852CF" w:rsidRPr="009A7B1D">
        <w:t>.</w:t>
      </w:r>
      <w:r w:rsidR="009852CF">
        <w:t xml:space="preserve"> </w:t>
      </w:r>
    </w:p>
    <w:p w:rsidR="009852CF" w:rsidRPr="005B0D7E" w:rsidRDefault="00D106A0" w:rsidP="009852CF">
      <w:pPr>
        <w:spacing w:before="100" w:beforeAutospacing="1" w:after="100" w:afterAutospacing="1" w:line="240" w:lineRule="auto"/>
        <w:rPr>
          <w:u w:val="single"/>
        </w:rPr>
      </w:pPr>
      <w:r>
        <w:t>Dès que les symptômes sont repéré</w:t>
      </w:r>
      <w:r w:rsidR="009852CF">
        <w:t>s</w:t>
      </w:r>
      <w:r>
        <w:t xml:space="preserve"> (voire avant)</w:t>
      </w:r>
      <w:r w:rsidR="009852CF">
        <w:t xml:space="preserve">, des solutions alternatives à l’usage des frênes dans les parcours acrobatiques sont à rechercher. </w:t>
      </w:r>
      <w:r w:rsidR="009852CF" w:rsidRPr="005B0D7E">
        <w:rPr>
          <w:u w:val="single"/>
        </w:rPr>
        <w:t>C’est bien entendu avec l’aide de l’expert phytosanitaire que peut se faire ce travail.</w:t>
      </w:r>
    </w:p>
    <w:p w:rsidR="00D106A0" w:rsidRDefault="00D106A0" w:rsidP="00D106A0">
      <w:pPr>
        <w:pStyle w:val="Titre1"/>
      </w:pPr>
      <w:r>
        <w:t>Peut-on lutter</w:t>
      </w:r>
    </w:p>
    <w:p w:rsidR="00D106A0" w:rsidRDefault="00D106A0" w:rsidP="009852CF">
      <w:pPr>
        <w:spacing w:before="100" w:beforeAutospacing="1" w:after="100" w:afterAutospacing="1" w:line="240" w:lineRule="auto"/>
      </w:pPr>
      <w:r>
        <w:t>Hélas, non, il n’existe aucune solution de lutte sur une zone déjà atteinte</w:t>
      </w:r>
      <w:r w:rsidR="0047763C">
        <w:t>. Plusieurs projets de recherche, menés en Grande Bretagne, en Suisse et en Lituanie, consistent à promouvoir un virus qui agirait contre le champignon. Les traitements restent expérimentaux et une fois de plus, la recherche sur les arbres n’est ni très facile, ni considérée comme prioritaire par les décideurs.</w:t>
      </w:r>
    </w:p>
    <w:p w:rsidR="009852CF" w:rsidRDefault="009852CF" w:rsidP="00D106A0">
      <w:pPr>
        <w:pStyle w:val="Titre1"/>
      </w:pPr>
      <w:r>
        <w:t>Comment cela se propage-t-il</w:t>
      </w:r>
    </w:p>
    <w:p w:rsidR="009852CF" w:rsidRDefault="009852CF" w:rsidP="009852CF">
      <w:pPr>
        <w:spacing w:before="100" w:beforeAutospacing="1" w:after="100" w:afterAutospacing="1" w:line="240" w:lineRule="auto"/>
      </w:pPr>
      <w:r>
        <w:t>On ne connait pas très bien les voies de contamination. Les spores des champignons peuvent être transportées par le vent, les oiseaux, les insectes…et les promeneurs. En l’attente d’</w:t>
      </w:r>
      <w:r w:rsidR="00D106A0">
        <w:t>élé</w:t>
      </w:r>
      <w:r>
        <w:t>ments plus clair, les personnes qui se déplacent de forêt en forêt, tels nous les experts doivent prendre les plus grandes précautions pour ne pas devenir agent contaminant.</w:t>
      </w:r>
    </w:p>
    <w:p w:rsidR="009852CF" w:rsidRDefault="00D106A0" w:rsidP="00D106A0">
      <w:pPr>
        <w:pStyle w:val="Titre1"/>
      </w:pPr>
      <w:r>
        <w:t>Vers une population ré</w:t>
      </w:r>
      <w:r w:rsidR="009852CF">
        <w:t>sistante.</w:t>
      </w:r>
    </w:p>
    <w:p w:rsidR="009852CF" w:rsidRDefault="009852CF" w:rsidP="009852CF">
      <w:pPr>
        <w:spacing w:before="100" w:beforeAutospacing="1" w:after="100" w:afterAutospacing="1" w:line="240" w:lineRule="auto"/>
      </w:pPr>
      <w:r>
        <w:t xml:space="preserve">Il semble bien que certains arbres résistent à la maladie (10 à 20% des arbres), c’est pourquoi un abattage </w:t>
      </w:r>
      <w:r w:rsidR="0047763C">
        <w:t>systématique</w:t>
      </w:r>
      <w:r>
        <w:t xml:space="preserve"> des frênes avant attaque en zone contaminée est contre-productif. La </w:t>
      </w:r>
      <w:r w:rsidR="0047763C">
        <w:t>sélection</w:t>
      </w:r>
      <w:r>
        <w:t xml:space="preserve"> d’individus résistant (une </w:t>
      </w:r>
      <w:r w:rsidR="0047763C">
        <w:t>origine</w:t>
      </w:r>
      <w:r>
        <w:t xml:space="preserve"> génétique de cette résistance a été démontrée) permettra peut-être l’</w:t>
      </w:r>
      <w:r w:rsidR="0047763C">
        <w:t>émergence</w:t>
      </w:r>
      <w:r>
        <w:t xml:space="preserve"> dans quelques années de peuplements de frênes résistants.</w:t>
      </w:r>
      <w:r w:rsidR="0047763C">
        <w:t xml:space="preserve"> Reste à savoir si ces perspectives rassurent les propriétaires et les gestionnaires de forêt de frênes…</w:t>
      </w:r>
    </w:p>
    <w:p w:rsidR="0047763C" w:rsidRDefault="0047763C" w:rsidP="009852CF">
      <w:pPr>
        <w:spacing w:before="100" w:beforeAutospacing="1" w:after="100" w:afterAutospacing="1" w:line="240" w:lineRule="auto"/>
      </w:pPr>
      <w:r>
        <w:rPr>
          <w:noProof/>
          <w:lang w:eastAsia="fr-FR"/>
        </w:rPr>
        <w:lastRenderedPageBreak/>
        <w:drawing>
          <wp:inline distT="0" distB="0" distL="0" distR="0">
            <wp:extent cx="4358951" cy="6240614"/>
            <wp:effectExtent l="19050" t="0" r="3499"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359115" cy="6240849"/>
                    </a:xfrm>
                    <a:prstGeom prst="rect">
                      <a:avLst/>
                    </a:prstGeom>
                    <a:noFill/>
                    <a:ln w="9525">
                      <a:noFill/>
                      <a:miter lim="800000"/>
                      <a:headEnd/>
                      <a:tailEnd/>
                    </a:ln>
                  </pic:spPr>
                </pic:pic>
              </a:graphicData>
            </a:graphic>
          </wp:inline>
        </w:drawing>
      </w:r>
    </w:p>
    <w:p w:rsidR="003F0EFA" w:rsidRDefault="003F0EFA" w:rsidP="009852CF">
      <w:pPr>
        <w:spacing w:before="100" w:beforeAutospacing="1" w:after="100" w:afterAutospacing="1" w:line="240" w:lineRule="auto"/>
      </w:pPr>
      <w:r>
        <w:t>Avance de la contamination.</w:t>
      </w:r>
    </w:p>
    <w:p w:rsidR="0047763C" w:rsidRDefault="003F0EFA" w:rsidP="009852CF">
      <w:pPr>
        <w:spacing w:before="100" w:beforeAutospacing="1" w:after="100" w:afterAutospacing="1" w:line="240" w:lineRule="auto"/>
      </w:pPr>
      <w:r>
        <w:rPr>
          <w:noProof/>
          <w:lang w:eastAsia="fr-FR"/>
        </w:rPr>
        <w:lastRenderedPageBreak/>
        <w:drawing>
          <wp:inline distT="0" distB="0" distL="0" distR="0">
            <wp:extent cx="5760720" cy="3241332"/>
            <wp:effectExtent l="19050" t="0" r="0" b="0"/>
            <wp:docPr id="2" name="Image 2" descr="C:\Users\USER\AppData\Local\Microsoft\Windows\INetCache\IE\63SX0VWF\20170118_1419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IE\63SX0VWF\20170118_141903[1].jpg"/>
                    <pic:cNvPicPr>
                      <a:picLocks noChangeAspect="1" noChangeArrowheads="1"/>
                    </pic:cNvPicPr>
                  </pic:nvPicPr>
                  <pic:blipFill>
                    <a:blip r:embed="rId16" cstate="print"/>
                    <a:srcRect/>
                    <a:stretch>
                      <a:fillRect/>
                    </a:stretch>
                  </pic:blipFill>
                  <pic:spPr bwMode="auto">
                    <a:xfrm>
                      <a:off x="0" y="0"/>
                      <a:ext cx="5760720" cy="3241332"/>
                    </a:xfrm>
                    <a:prstGeom prst="rect">
                      <a:avLst/>
                    </a:prstGeom>
                    <a:noFill/>
                    <a:ln w="9525">
                      <a:noFill/>
                      <a:miter lim="800000"/>
                      <a:headEnd/>
                      <a:tailEnd/>
                    </a:ln>
                  </pic:spPr>
                </pic:pic>
              </a:graphicData>
            </a:graphic>
          </wp:inline>
        </w:drawing>
      </w:r>
    </w:p>
    <w:p w:rsidR="003F0EFA" w:rsidRDefault="003F0EFA" w:rsidP="009852CF">
      <w:pPr>
        <w:spacing w:before="100" w:beforeAutospacing="1" w:after="100" w:afterAutospacing="1" w:line="240" w:lineRule="auto"/>
      </w:pPr>
      <w:r>
        <w:t>Premiers symptômes sur un jeune rameau.</w:t>
      </w:r>
    </w:p>
    <w:p w:rsidR="003F0EFA" w:rsidRDefault="003F0EFA" w:rsidP="009852CF">
      <w:pPr>
        <w:spacing w:before="100" w:beforeAutospacing="1" w:after="100" w:afterAutospacing="1" w:line="240" w:lineRule="auto"/>
      </w:pPr>
      <w:r>
        <w:rPr>
          <w:noProof/>
          <w:lang w:eastAsia="fr-FR"/>
        </w:rPr>
        <w:drawing>
          <wp:inline distT="0" distB="0" distL="0" distR="0">
            <wp:extent cx="3657600" cy="3657600"/>
            <wp:effectExtent l="19050" t="0" r="0" b="0"/>
            <wp:docPr id="3" name="Image 2" descr="chalara-symptom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ara-symptoms-02.jpg"/>
                    <pic:cNvPicPr/>
                  </pic:nvPicPr>
                  <pic:blipFill>
                    <a:blip r:embed="rId17" cstate="print"/>
                    <a:stretch>
                      <a:fillRect/>
                    </a:stretch>
                  </pic:blipFill>
                  <pic:spPr>
                    <a:xfrm>
                      <a:off x="0" y="0"/>
                      <a:ext cx="3657600" cy="3657600"/>
                    </a:xfrm>
                    <a:prstGeom prst="rect">
                      <a:avLst/>
                    </a:prstGeom>
                  </pic:spPr>
                </pic:pic>
              </a:graphicData>
            </a:graphic>
          </wp:inline>
        </w:drawing>
      </w:r>
    </w:p>
    <w:p w:rsidR="003F0EFA" w:rsidRPr="009A7B1D" w:rsidRDefault="003F0EFA" w:rsidP="009852CF">
      <w:pPr>
        <w:spacing w:before="100" w:beforeAutospacing="1" w:after="100" w:afterAutospacing="1" w:line="240" w:lineRule="auto"/>
      </w:pPr>
      <w:r>
        <w:t>Typiquement, les feuilles se déploient, puis se flétrissent alors que le développement du champignon empêche l’alimentation en sève brute des feuilles.</w:t>
      </w:r>
    </w:p>
    <w:sectPr w:rsidR="003F0EFA" w:rsidRPr="009A7B1D" w:rsidSect="0010059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E23B93"/>
    <w:multiLevelType w:val="multilevel"/>
    <w:tmpl w:val="77660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doNotDisplayPageBoundaries/>
  <w:proofState w:spelling="clean" w:grammar="clean"/>
  <w:defaultTabStop w:val="708"/>
  <w:hyphenationZone w:val="425"/>
  <w:characterSpacingControl w:val="doNotCompress"/>
  <w:compat/>
  <w:rsids>
    <w:rsidRoot w:val="00125A3F"/>
    <w:rsid w:val="0010059C"/>
    <w:rsid w:val="00125A3F"/>
    <w:rsid w:val="003F0EFA"/>
    <w:rsid w:val="0047763C"/>
    <w:rsid w:val="005B0D7E"/>
    <w:rsid w:val="009852CF"/>
    <w:rsid w:val="00D106A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59C"/>
  </w:style>
  <w:style w:type="paragraph" w:styleId="Titre1">
    <w:name w:val="heading 1"/>
    <w:basedOn w:val="Normal"/>
    <w:next w:val="Normal"/>
    <w:link w:val="Titre1Car"/>
    <w:uiPriority w:val="9"/>
    <w:qFormat/>
    <w:rsid w:val="00D106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106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25A3F"/>
    <w:rPr>
      <w:color w:val="0000FF" w:themeColor="hyperlink"/>
      <w:u w:val="single"/>
    </w:rPr>
  </w:style>
  <w:style w:type="paragraph" w:styleId="Titre">
    <w:name w:val="Title"/>
    <w:basedOn w:val="Normal"/>
    <w:next w:val="Normal"/>
    <w:link w:val="TitreCar"/>
    <w:uiPriority w:val="10"/>
    <w:qFormat/>
    <w:rsid w:val="00D106A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106A0"/>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D106A0"/>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D106A0"/>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4776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776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ndex.php?title=Descente_de_cime&amp;action=edit&amp;redlink=1" TargetMode="External"/><Relationship Id="rId13" Type="http://schemas.openxmlformats.org/officeDocument/2006/relationships/hyperlink" Target="https://fr.wikipedia.org/wiki/Houppie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fr.wikipedia.org/wiki/Scolyte" TargetMode="External"/><Relationship Id="rId12" Type="http://schemas.openxmlformats.org/officeDocument/2006/relationships/hyperlink" Target="https://fr.wikipedia.org/wiki/Collet"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hyperlink" Target="https://fr.wikipedia.org/wiki/%C3%89corce" TargetMode="External"/><Relationship Id="rId11" Type="http://schemas.openxmlformats.org/officeDocument/2006/relationships/hyperlink" Target="https://fr.wikipedia.org/wiki/Chancre" TargetMode="External"/><Relationship Id="rId5" Type="http://schemas.openxmlformats.org/officeDocument/2006/relationships/hyperlink" Target="https://fr.wikipedia.org/wiki/Rameau_%28biologie%29" TargetMode="External"/><Relationship Id="rId15" Type="http://schemas.openxmlformats.org/officeDocument/2006/relationships/image" Target="media/image1.png"/><Relationship Id="rId10" Type="http://schemas.openxmlformats.org/officeDocument/2006/relationships/hyperlink" Target="https://fr.wikipedia.org/wiki/Mycos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fr.wikipedia.org/wiki/Gourmand_%28botanique%29" TargetMode="External"/><Relationship Id="rId14" Type="http://schemas.openxmlformats.org/officeDocument/2006/relationships/hyperlink" Target="https://fr.wikipedia.org/wiki/Armillari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4</Pages>
  <Words>731</Words>
  <Characters>4023</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2017-01-22T15:07:00Z</dcterms:created>
  <dcterms:modified xsi:type="dcterms:W3CDTF">2017-01-22T16:00:00Z</dcterms:modified>
</cp:coreProperties>
</file>